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6ED4197C" w:rsidR="00185D82" w:rsidRPr="001B2CE5" w:rsidRDefault="001B2CE5" w:rsidP="00185D82">
      <w:pPr>
        <w:pStyle w:val="Formatvorlage3"/>
        <w:rPr>
          <w:iCs w:val="0"/>
          <w:sz w:val="28"/>
          <w:szCs w:val="28"/>
        </w:rPr>
      </w:pPr>
      <w:bookmarkStart w:id="0" w:name="_Hlk497815209"/>
      <w:r w:rsidRPr="001B2CE5">
        <w:rPr>
          <w:iCs w:val="0"/>
          <w:noProof/>
          <w:sz w:val="28"/>
          <w:szCs w:val="28"/>
          <w:lang w:eastAsia="de-DE" w:bidi="ar-SA"/>
        </w:rPr>
        <w:t>Ein Dauerblüher in leuchtendem Orange: „Glutzauber“</w:t>
      </w:r>
      <w:r w:rsidR="0027601B" w:rsidRPr="001B2CE5">
        <w:rPr>
          <w:iCs w:val="0"/>
          <w:sz w:val="28"/>
          <w:szCs w:val="28"/>
        </w:rPr>
        <w:t xml:space="preserve"> </w:t>
      </w:r>
      <w:r w:rsidR="00AD3072">
        <w:rPr>
          <w:iCs w:val="0"/>
          <w:sz w:val="28"/>
          <w:szCs w:val="28"/>
        </w:rPr>
        <w:br/>
      </w:r>
    </w:p>
    <w:p w14:paraId="3282225A" w14:textId="573E1AB4" w:rsidR="00B325C7" w:rsidRDefault="00AD3072" w:rsidP="009C0910">
      <w:pPr>
        <w:pStyle w:val="Formatvorlage2"/>
      </w:pPr>
      <w:r w:rsidRPr="001B2CE5">
        <w:rPr>
          <w:iCs/>
          <w:noProof/>
          <w:sz w:val="28"/>
          <w:szCs w:val="28"/>
          <w:lang w:eastAsia="de-DE" w:bidi="ar-SA"/>
        </w:rPr>
        <mc:AlternateContent>
          <mc:Choice Requires="wps">
            <w:drawing>
              <wp:anchor distT="0" distB="0" distL="114300" distR="114300" simplePos="0" relativeHeight="251650048" behindDoc="0" locked="0" layoutInCell="1" allowOverlap="1" wp14:anchorId="2D230C2A" wp14:editId="7ADA2D7F">
                <wp:simplePos x="0" y="0"/>
                <wp:positionH relativeFrom="rightMargin">
                  <wp:align>left</wp:align>
                </wp:positionH>
                <wp:positionV relativeFrom="paragraph">
                  <wp:posOffset>827303</wp:posOffset>
                </wp:positionV>
                <wp:extent cx="409575" cy="4448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48810"/>
                        </a:xfrm>
                        <a:prstGeom prst="rect">
                          <a:avLst/>
                        </a:prstGeom>
                        <a:noFill/>
                        <a:ln>
                          <a:noFill/>
                        </a:ln>
                      </wps:spPr>
                      <wps:txbx>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left:0;text-align:left;margin-left:0;margin-top:65.15pt;width:32.25pt;height:350.3pt;z-index:2516500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b4QEAAKQDAAAOAAAAZHJzL2Uyb0RvYy54bWysU8Fu2zAMvQ/YPwi6L7YDZ0mNOEXXosOA&#10;bh3Q9QNkWbaF2aJGKbHz96PkNM22W7GLIJH043vk8/Z6Gnp2UOg0mJJni5QzZSTU2rQlf/5x/2HD&#10;mfPC1KIHo0p+VI5f796/2462UEvooK8VMgIxrhhtyTvvbZEkTnZqEG4BVhlKNoCD8PTENqlRjIQ+&#10;9MkyTT8mI2BtEaRyjqJ3c5LvIn7TKOkfm8Ypz/qSEzcfT4xnFc5ktxVFi8J2Wp5oiDewGIQ21PQM&#10;dSe8YHvU/0ANWiI4aPxCwpBA02ipogZSk6V/qXnqhFVRCw3H2fOY3P+Dld8OT/Y7Mj99gokWGEU4&#10;+wDyp2MGbjthWnWDCGOnRE2NszCyZLSuOH0aRu0KF0Cq8SvUtGSx9xCBpgaHMBXSyQidFnA8D11N&#10;nkkK5unVar3iTFIqz/PNJotbSUTx8rVF5z8rGFi4lBxpqRFdHB6cD2xE8VISmhm4130fF9ubPwJU&#10;GCKRfSA8U/dTNVF1UFFBfSQdCLNPyNd0CedyTdxHsknJ3a+9QMVZ/8XQOK6yPA++io98tV7SAy8z&#10;1WVGGNkBuc9zNl9v/ezFvUXddtRsXoCBGxpho6O6V2In6mSFKPpk2+C1y3esev25dr8BAAD//wMA&#10;UEsDBBQABgAIAAAAIQCT0Ev13gAAAAcBAAAPAAAAZHJzL2Rvd25yZXYueG1sTI/BTsMwEETvSPyD&#10;tUjcqA2BqoQ4FQJRiQtqAxy4OfGSRNjrELtN+vcsJzjuzGjmbbGevRMHHGMfSMPlQoFAaoLtqdXw&#10;9vp0sQIRkyFrXCDUcMQI6/L0pDC5DRPt8FClVnAJxdxo6FIacilj06E3cREGJPY+w+hN4nNspR3N&#10;xOXeySulltKbnnihMwM+dNh8VXuv4b1+ObrdkH2ofnrezpvvbfW4abU+P5vv70AknNNfGH7xGR1K&#10;ZqrDnmwUTgM/kljNVAaC7eX1DYhawypTtyDLQv7nL38AAAD//wMAUEsBAi0AFAAGAAgAAAAhALaD&#10;OJL+AAAA4QEAABMAAAAAAAAAAAAAAAAAAAAAAFtDb250ZW50X1R5cGVzXS54bWxQSwECLQAUAAYA&#10;CAAAACEAOP0h/9YAAACUAQAACwAAAAAAAAAAAAAAAAAvAQAAX3JlbHMvLnJlbHNQSwECLQAUAAYA&#10;CAAAACEAFSD0m+EBAACkAwAADgAAAAAAAAAAAAAAAAAuAgAAZHJzL2Uyb0RvYy54bWxQSwECLQAU&#10;AAYACAAAACEAk9BL9d4AAAAHAQAADwAAAAAAAAAAAAAAAAA7BAAAZHJzL2Rvd25yZXYueG1sUEsF&#10;BgAAAAAEAAQA8wAAAEYFAAAAAA==&#10;" filled="f" stroked="f">
                <v:textbox style="layout-flow:vertical;mso-layout-flow-alt:bottom-to-top">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v:textbox>
                <w10:wrap anchorx="margin"/>
              </v:shape>
            </w:pict>
          </mc:Fallback>
        </mc:AlternateContent>
      </w:r>
      <w:r w:rsidR="00D674F9">
        <w:t>(</w:t>
      </w:r>
      <w:r w:rsidR="008106A7" w:rsidRPr="00185D82">
        <w:t xml:space="preserve">GMH) </w:t>
      </w:r>
      <w:bookmarkStart w:id="1" w:name="_Hlk127252587"/>
      <w:proofErr w:type="spellStart"/>
      <w:r w:rsidR="001B2CE5" w:rsidRPr="001B2CE5">
        <w:t>Begonia</w:t>
      </w:r>
      <w:proofErr w:type="spellEnd"/>
      <w:r w:rsidR="001B2CE5" w:rsidRPr="001B2CE5">
        <w:t xml:space="preserve"> </w:t>
      </w:r>
      <w:proofErr w:type="spellStart"/>
      <w:r w:rsidR="001B2CE5" w:rsidRPr="001B2CE5">
        <w:t>Bellissa</w:t>
      </w:r>
      <w:proofErr w:type="spellEnd"/>
      <w:r w:rsidR="001B2CE5" w:rsidRPr="001B2CE5">
        <w:t xml:space="preserve"> orange – So lautet der originale Name der „Pflanze des Jahres 2024“ für Rheinland-Pfalz und das Saarland. Die prächtige Begonie mit den wunderschönen, orange leuchtenden Blüten bevorzugt zwar schattige Lagen, kommt jedoch auch sehr gut mit Sonne und Schatten zurecht. Ihre sehr gute Hitze- und Wettertoleranz lässt sie den ganzen Sommer unermüdlich durchblühen – und das von April bis September.</w:t>
      </w:r>
    </w:p>
    <w:p w14:paraId="250509AE" w14:textId="150609AD" w:rsidR="0027601B" w:rsidRDefault="0027601B" w:rsidP="00B325C7">
      <w:pPr>
        <w:pStyle w:val="Formatvorlage2"/>
        <w:ind w:left="0"/>
      </w:pPr>
    </w:p>
    <w:p w14:paraId="3A6AE2E7" w14:textId="23ADF2E3" w:rsidR="0027601B" w:rsidRDefault="00AD3072" w:rsidP="00B325C7">
      <w:pPr>
        <w:pStyle w:val="Formatvorlage2"/>
        <w:ind w:left="0"/>
      </w:pPr>
      <w:r>
        <w:rPr>
          <w:noProof/>
        </w:rPr>
        <w:drawing>
          <wp:anchor distT="0" distB="0" distL="114300" distR="114300" simplePos="0" relativeHeight="251664384" behindDoc="0" locked="0" layoutInCell="1" allowOverlap="1" wp14:anchorId="54DD07D5" wp14:editId="2A79DB3D">
            <wp:simplePos x="0" y="0"/>
            <wp:positionH relativeFrom="column">
              <wp:posOffset>335915</wp:posOffset>
            </wp:positionH>
            <wp:positionV relativeFrom="paragraph">
              <wp:posOffset>6985</wp:posOffset>
            </wp:positionV>
            <wp:extent cx="5368925" cy="3565525"/>
            <wp:effectExtent l="0" t="0" r="3175" b="0"/>
            <wp:wrapNone/>
            <wp:docPr id="200678191" name="Grafik 1" descr="Ein Bild, das Blume, Einjährige Pflanzen, Blumentopf,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8191" name="Grafik 1" descr="Ein Bild, das Blume, Einjährige Pflanzen, Blumentopf,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8925" cy="3565525"/>
                    </a:xfrm>
                    <a:prstGeom prst="rect">
                      <a:avLst/>
                    </a:prstGeom>
                  </pic:spPr>
                </pic:pic>
              </a:graphicData>
            </a:graphic>
            <wp14:sizeRelH relativeFrom="page">
              <wp14:pctWidth>0</wp14:pctWidth>
            </wp14:sizeRelH>
            <wp14:sizeRelV relativeFrom="page">
              <wp14:pctHeight>0</wp14:pctHeight>
            </wp14:sizeRelV>
          </wp:anchor>
        </w:drawing>
      </w:r>
    </w:p>
    <w:p w14:paraId="698D2B87" w14:textId="77777777" w:rsidR="0027601B" w:rsidRDefault="0027601B" w:rsidP="00B325C7">
      <w:pPr>
        <w:pStyle w:val="Formatvorlage2"/>
        <w:ind w:left="0"/>
      </w:pPr>
    </w:p>
    <w:p w14:paraId="11F0BB07" w14:textId="77777777" w:rsidR="0027601B" w:rsidRDefault="0027601B" w:rsidP="00B325C7">
      <w:pPr>
        <w:pStyle w:val="Formatvorlage2"/>
        <w:ind w:left="0"/>
      </w:pPr>
    </w:p>
    <w:p w14:paraId="50AF0CB1" w14:textId="77777777" w:rsidR="0027601B" w:rsidRDefault="0027601B" w:rsidP="00B325C7">
      <w:pPr>
        <w:pStyle w:val="Formatvorlage2"/>
        <w:ind w:left="0"/>
      </w:pPr>
    </w:p>
    <w:p w14:paraId="279C0392" w14:textId="77777777" w:rsidR="004C09BF" w:rsidRDefault="004C09BF" w:rsidP="00B325C7">
      <w:pPr>
        <w:pStyle w:val="Formatvorlage2"/>
        <w:ind w:left="0"/>
      </w:pPr>
    </w:p>
    <w:p w14:paraId="1FEA3B45" w14:textId="77777777" w:rsidR="004C09BF" w:rsidRDefault="004C09BF" w:rsidP="00B325C7">
      <w:pPr>
        <w:pStyle w:val="Formatvorlage2"/>
        <w:ind w:left="0"/>
      </w:pPr>
    </w:p>
    <w:p w14:paraId="62EBD334" w14:textId="77777777" w:rsidR="004C09BF" w:rsidRDefault="004C09BF" w:rsidP="00B325C7">
      <w:pPr>
        <w:pStyle w:val="Formatvorlage2"/>
        <w:ind w:left="0"/>
      </w:pPr>
    </w:p>
    <w:p w14:paraId="5B343401" w14:textId="77777777" w:rsidR="0027601B" w:rsidRDefault="0027601B" w:rsidP="00B325C7">
      <w:pPr>
        <w:pStyle w:val="Formatvorlage2"/>
        <w:ind w:left="0"/>
      </w:pPr>
    </w:p>
    <w:p w14:paraId="5372BF6B" w14:textId="77777777" w:rsidR="0027601B" w:rsidRDefault="0027601B" w:rsidP="00B325C7">
      <w:pPr>
        <w:pStyle w:val="Formatvorlage2"/>
        <w:ind w:left="0"/>
      </w:pPr>
    </w:p>
    <w:p w14:paraId="7C4A1D68" w14:textId="77777777" w:rsidR="0027601B" w:rsidRDefault="0027601B" w:rsidP="00B325C7">
      <w:pPr>
        <w:pStyle w:val="Formatvorlage2"/>
        <w:ind w:left="0"/>
      </w:pPr>
    </w:p>
    <w:p w14:paraId="456CA3D6" w14:textId="2D28D07E" w:rsidR="00B325C7" w:rsidRDefault="00B325C7" w:rsidP="00B325C7">
      <w:pPr>
        <w:pStyle w:val="Formatvorlage2"/>
        <w:ind w:left="0"/>
      </w:pPr>
    </w:p>
    <w:p w14:paraId="0442FD7F" w14:textId="3A649C2C" w:rsidR="000A11F0" w:rsidRDefault="000A11F0" w:rsidP="00B325C7">
      <w:pPr>
        <w:pStyle w:val="Formatvorlage2"/>
        <w:ind w:left="0"/>
      </w:pPr>
    </w:p>
    <w:p w14:paraId="5DF39832" w14:textId="40C81A61" w:rsidR="00B325C7" w:rsidRDefault="00AD3072"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3CED1890">
                <wp:simplePos x="0" y="0"/>
                <wp:positionH relativeFrom="margin">
                  <wp:posOffset>387680</wp:posOffset>
                </wp:positionH>
                <wp:positionV relativeFrom="paragraph">
                  <wp:posOffset>257378</wp:posOffset>
                </wp:positionV>
                <wp:extent cx="5296154" cy="631371"/>
                <wp:effectExtent l="0" t="0" r="19050" b="1651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154" cy="631371"/>
                        </a:xfrm>
                        <a:prstGeom prst="rect">
                          <a:avLst/>
                        </a:prstGeom>
                        <a:solidFill>
                          <a:srgbClr val="FFFFFF"/>
                        </a:solidFill>
                        <a:ln w="9525">
                          <a:solidFill>
                            <a:srgbClr val="000000"/>
                          </a:solidFill>
                          <a:miter lim="800000"/>
                          <a:headEnd/>
                          <a:tailEnd/>
                        </a:ln>
                      </wps:spPr>
                      <wps:txbx>
                        <w:txbxContent>
                          <w:p w14:paraId="2225F2A6" w14:textId="315CF8EA" w:rsidR="002B0A44" w:rsidRPr="00AE4678"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1B2CE5" w:rsidRPr="00AE4678">
                              <w:rPr>
                                <w:color w:val="000000"/>
                                <w:sz w:val="22"/>
                                <w:szCs w:val="22"/>
                              </w:rPr>
                              <w:t>Eine hervorragende Sommerperformance mit fantastischen, orange leuchtenden Blüten kennzeichnen die „Pflanze des Jahres 2024“ für Rheinland-Pfalz und das Saarland.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margin-left:30.55pt;margin-top:20.25pt;width:417pt;height:4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WqGg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fLpcTOYzziT5FleTq+shhMiffjv04b2ClsVDwZGamtDF4cGHmI3In57EYB6MrrbamGTg&#10;rtwYZAdBAtimlQp48cxY1hV8OZ/OBwL+CjFO608QrQ6kZKPbgt+cH4k80vbOVklnQWgznCllY088&#10;RuoGEkNf9kxXJ5IjrSVURyIWYRAuDRodGsCfnHUk2oL7H3uBijPzwVJzlpPZLKo8GbP59ZQMvPSU&#10;lx5hJUEVPHA2HDdhmIy9Q71rKNIgBwt31NBaJ66fszqlT8JMLTgNUVT+pZ1ePY/6+hcAAAD//wMA&#10;UEsDBBQABgAIAAAAIQCkWS7s3wAAAAkBAAAPAAAAZHJzL2Rvd25yZXYueG1sTI/BTsMwDIbvSLxD&#10;ZCQuiKVlW2lL0wkhgeAGA8E1a7y2onFKknXl7TEnONr/p9+fq81sBzGhD70jBekiAYHUONNTq+Dt&#10;9f4yBxGiJqMHR6jgGwNs6tOTSpfGHekFp21sBZdQKLWCLsaxlDI0HVodFm5E4mzvvNWRR99K4/WR&#10;y+0gr5Ikk1b3xBc6PeJdh83n9mAV5KvH6SM8LZ/fm2w/FPHienr48kqdn823NyAizvEPhl99Voea&#10;nXbuQCaIQUGWpkwqWCVrEJznxZoXOwaXRQGyruT/D+ofAAAA//8DAFBLAQItABQABgAIAAAAIQC2&#10;gziS/gAAAOEBAAATAAAAAAAAAAAAAAAAAAAAAABbQ29udGVudF9UeXBlc10ueG1sUEsBAi0AFAAG&#10;AAgAAAAhADj9If/WAAAAlAEAAAsAAAAAAAAAAAAAAAAALwEAAF9yZWxzLy5yZWxzUEsBAi0AFAAG&#10;AAgAAAAhAFBMxaoaAgAAMgQAAA4AAAAAAAAAAAAAAAAALgIAAGRycy9lMm9Eb2MueG1sUEsBAi0A&#10;FAAGAAgAAAAhAKRZLuzfAAAACQEAAA8AAAAAAAAAAAAAAAAAdAQAAGRycy9kb3ducmV2LnhtbFBL&#10;BQYAAAAABAAEAPMAAACABQAAAAA=&#10;">
                <v:textbox>
                  <w:txbxContent>
                    <w:p w14:paraId="2225F2A6" w14:textId="315CF8EA" w:rsidR="002B0A44" w:rsidRPr="00AE4678"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1B2CE5" w:rsidRPr="00AE4678">
                        <w:rPr>
                          <w:color w:val="000000"/>
                          <w:sz w:val="22"/>
                          <w:szCs w:val="22"/>
                        </w:rPr>
                        <w:t>Eine hervorragende Sommerperformance mit fantastischen, orange leuchtenden Blüten kennzeichnen die „Pflanze des Jahres 2024“ für Rheinland-Pfalz und das Saarland.</w:t>
                      </w:r>
                    </w:p>
                  </w:txbxContent>
                </v:textbox>
                <w10:wrap anchorx="margin"/>
              </v:shape>
            </w:pict>
          </mc:Fallback>
        </mc:AlternateContent>
      </w:r>
    </w:p>
    <w:p w14:paraId="40EE6B3D" w14:textId="012A4688" w:rsidR="001C579D" w:rsidRDefault="001C579D" w:rsidP="00B325C7">
      <w:pPr>
        <w:pStyle w:val="Formatvorlage2"/>
        <w:ind w:left="0"/>
      </w:pPr>
    </w:p>
    <w:p w14:paraId="5F9D7B61" w14:textId="61850D6D" w:rsidR="001C579D" w:rsidRDefault="001C579D" w:rsidP="00B325C7">
      <w:pPr>
        <w:pStyle w:val="Formatvorlage2"/>
        <w:ind w:left="0"/>
      </w:pPr>
    </w:p>
    <w:p w14:paraId="797FAD98" w14:textId="4860FCD1" w:rsidR="00B325C7" w:rsidRDefault="00AD3072"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5C4A441A">
                <wp:simplePos x="0" y="0"/>
                <wp:positionH relativeFrom="margin">
                  <wp:posOffset>372745</wp:posOffset>
                </wp:positionH>
                <wp:positionV relativeFrom="paragraph">
                  <wp:posOffset>134848</wp:posOffset>
                </wp:positionV>
                <wp:extent cx="5310784" cy="408940"/>
                <wp:effectExtent l="0" t="0" r="2349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784" cy="408940"/>
                        </a:xfrm>
                        <a:prstGeom prst="rect">
                          <a:avLst/>
                        </a:prstGeom>
                        <a:solidFill>
                          <a:srgbClr val="FFFFFF"/>
                        </a:solidFill>
                        <a:ln w="9525">
                          <a:solidFill>
                            <a:srgbClr val="FF0000"/>
                          </a:solidFill>
                          <a:miter lim="800000"/>
                          <a:headEnd/>
                          <a:tailEnd/>
                        </a:ln>
                      </wps:spPr>
                      <wps:txbx>
                        <w:txbxContent>
                          <w:p w14:paraId="728A549A" w14:textId="6C916E3C"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E1787" w:rsidRPr="008E1787">
                                <w:rPr>
                                  <w:rStyle w:val="Hyperlink"/>
                                  <w:rFonts w:ascii="Arial" w:hAnsi="Arial" w:cs="Arial"/>
                                  <w:sz w:val="20"/>
                                  <w:szCs w:val="20"/>
                                  <w:lang w:val="de-DE"/>
                                </w:rPr>
                                <w:t>https://www.gruenes-medienhaus.de/download/2024/03/GMH_2024_11_03.jpg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29.35pt;margin-top:10.6pt;width:418.15pt;height:3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FXHQ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etpfrWccybJN8+Xq3nqSiaKx98OfXivoGXxUHKkpiZ0cbrzIWYjiscnMZgHo6udNiYZ&#10;eNhvDbKTIAHs0koFPHtmLOtKvlrMFgMBf4HIaf0JotWBlGx0W/JlfDNqK9L2zlZJZ0FoM5wpZWNH&#10;HiN1A4mh3/dMVyWfxQCR1j1UD0QswiBcGjQ6NIA/OetItCX3P44CFWfmg6XmrKZzYo+FZMwXVzMy&#10;8NKzv/QIKwmq5IGz4bgNw2QcHepDQ5EGOVi4oYbWOnH9lNWYPgkztWAcoqj8Szu9ehr1zS8AAAD/&#10;/wMAUEsDBBQABgAIAAAAIQDYCoM74AAAAAgBAAAPAAAAZHJzL2Rvd25yZXYueG1sTI9BS8NAEIXv&#10;gv9hGcFLsZsGksaYTRFB0dKLqQjettkxCc3Ohuw2jf/e8VRv83iPN98rNrPtxYSj7xwpWC0jEEi1&#10;Mx01Cj72z3cZCB80Gd07QgU/6GFTXl8VOjfuTO84VaERXEI+1wraEIZcSl+3aLVfugGJvW83Wh1Y&#10;jo00oz5zue1lHEWptLoj/tDqAZ9arI/VySr4epuOu7X73G+3abV4lS/Vbl50St3ezI8PIALO4RKG&#10;P3xGh5KZDu5ExoteQZKtOakgXsUg2M/uE9524CNJQZaF/D+g/AUAAP//AwBQSwECLQAUAAYACAAA&#10;ACEAtoM4kv4AAADhAQAAEwAAAAAAAAAAAAAAAAAAAAAAW0NvbnRlbnRfVHlwZXNdLnhtbFBLAQIt&#10;ABQABgAIAAAAIQA4/SH/1gAAAJQBAAALAAAAAAAAAAAAAAAAAC8BAABfcmVscy8ucmVsc1BLAQIt&#10;ABQABgAIAAAAIQCti8FXHQIAADIEAAAOAAAAAAAAAAAAAAAAAC4CAABkcnMvZTJvRG9jLnhtbFBL&#10;AQItABQABgAIAAAAIQDYCoM74AAAAAgBAAAPAAAAAAAAAAAAAAAAAHcEAABkcnMvZG93bnJldi54&#10;bWxQSwUGAAAAAAQABADzAAAAhAUAAAAA&#10;" strokecolor="red">
                <v:textbox>
                  <w:txbxContent>
                    <w:p w14:paraId="728A549A" w14:textId="6C916E3C"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E1787" w:rsidRPr="008E1787">
                          <w:rPr>
                            <w:rStyle w:val="Hyperlink"/>
                            <w:rFonts w:ascii="Arial" w:hAnsi="Arial" w:cs="Arial"/>
                            <w:sz w:val="20"/>
                            <w:szCs w:val="20"/>
                            <w:lang w:val="de-DE"/>
                          </w:rPr>
                          <w:t>https://www.gruenes-medienhaus.de/download/2024/03/GMH_2024_11_03.jpg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4E5D949D" w14:textId="77777777" w:rsidR="00AE4678" w:rsidRDefault="00AE4678" w:rsidP="0094694A">
      <w:pPr>
        <w:pStyle w:val="Formatvorlage2"/>
      </w:pPr>
    </w:p>
    <w:p w14:paraId="77A7E834" w14:textId="3909E3E1" w:rsidR="0094694A" w:rsidRDefault="0094694A" w:rsidP="0094694A">
      <w:pPr>
        <w:pStyle w:val="Formatvorlage2"/>
      </w:pPr>
      <w:r>
        <w:lastRenderedPageBreak/>
        <w:t xml:space="preserve">Die robuste </w:t>
      </w:r>
      <w:r w:rsidRPr="00AD3072">
        <w:t>Begonie trägt</w:t>
      </w:r>
      <w:r w:rsidR="00AD3072">
        <w:t xml:space="preserve"> ihren</w:t>
      </w:r>
      <w:r>
        <w:t xml:space="preserve"> Aktionsnamen „Glutzauber“ absolut zurecht. Mit ihrem buschig-kompakten Wuchs und ihren gefüllten Blüten zaubern die Pflanzen ein fantastisches oranges Farbenmeer in jeden Garten, auf jede Terrasse und auf jeden Balkon. Auch für die Grabbepflanzung ist sie hervorragend geeignet. Die Blütenpracht zeigt sich bei Einzel- oder Gruppenpflanzungen gleichermaßen. </w:t>
      </w:r>
    </w:p>
    <w:p w14:paraId="7F841856" w14:textId="77777777" w:rsidR="0094694A" w:rsidRDefault="0094694A" w:rsidP="0094694A">
      <w:pPr>
        <w:pStyle w:val="Formatvorlage2"/>
      </w:pPr>
      <w:r>
        <w:t xml:space="preserve">„Glutzauber“ bevorzugt durchlässige und nährstoffreiche Erde und mag es, wenn sie regelmäßig gegossen wird. Staunässe ist allerdings zu vermeiden. Nach Möglichkeit sollte man ein Gießen über Blätter und Blüten vermeiden. </w:t>
      </w:r>
    </w:p>
    <w:p w14:paraId="12CF8422" w14:textId="09A6886B" w:rsidR="004B3887" w:rsidRDefault="0094694A" w:rsidP="0094694A">
      <w:pPr>
        <w:pStyle w:val="Formatvorlage2"/>
      </w:pPr>
      <w:r>
        <w:t xml:space="preserve">Begonien gehören zu den artenreichsten Pflanzengattungen, die häufig in feuchten tropischen bis subtropischen Regionen wachsen und meistens ausdauernd sind. </w:t>
      </w:r>
      <w:proofErr w:type="spellStart"/>
      <w:r>
        <w:t>Begonia</w:t>
      </w:r>
      <w:proofErr w:type="spellEnd"/>
      <w:r>
        <w:t xml:space="preserve"> </w:t>
      </w:r>
      <w:proofErr w:type="spellStart"/>
      <w:r>
        <w:t>Bellissa</w:t>
      </w:r>
      <w:proofErr w:type="spellEnd"/>
      <w:r>
        <w:t xml:space="preserve"> orange ist eine sehr robuste Vertreterin, die mit einer großen Bandbreite an Standorten und Witterungseinflüssen gut zurechtkommt.</w:t>
      </w:r>
    </w:p>
    <w:p w14:paraId="0CBFFBD1" w14:textId="69E25BF1"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8934188" w:rsidR="002B0A44" w:rsidRPr="00F02F39"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F02F39">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1F0"/>
    <w:rsid w:val="000A12B4"/>
    <w:rsid w:val="000A3274"/>
    <w:rsid w:val="000B0895"/>
    <w:rsid w:val="000B14D7"/>
    <w:rsid w:val="000B2DB8"/>
    <w:rsid w:val="000B3856"/>
    <w:rsid w:val="000B40E2"/>
    <w:rsid w:val="000B505C"/>
    <w:rsid w:val="000B5292"/>
    <w:rsid w:val="000C01EF"/>
    <w:rsid w:val="000C21E7"/>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2CE5"/>
    <w:rsid w:val="001B3456"/>
    <w:rsid w:val="001B5E45"/>
    <w:rsid w:val="001B759D"/>
    <w:rsid w:val="001C52BA"/>
    <w:rsid w:val="001C579D"/>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01B"/>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A5A8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D9A"/>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09BF"/>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4B0A"/>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787"/>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4694A"/>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072"/>
    <w:rsid w:val="00AD4172"/>
    <w:rsid w:val="00AD4850"/>
    <w:rsid w:val="00AD77A9"/>
    <w:rsid w:val="00AD7C36"/>
    <w:rsid w:val="00AE3438"/>
    <w:rsid w:val="00AE467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6B52"/>
    <w:rsid w:val="00DF744E"/>
    <w:rsid w:val="00E006D4"/>
    <w:rsid w:val="00E0344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2F39"/>
    <w:rsid w:val="00F036E5"/>
    <w:rsid w:val="00F03A54"/>
    <w:rsid w:val="00F04602"/>
    <w:rsid w:val="00F06F95"/>
    <w:rsid w:val="00F11FAA"/>
    <w:rsid w:val="00F13030"/>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3/GMH_2024_11_03.jpg" TargetMode="External"/><Relationship Id="rId4" Type="http://schemas.openxmlformats.org/officeDocument/2006/relationships/settings" Target="settings.xml"/><Relationship Id="rId9" Type="http://schemas.openxmlformats.org/officeDocument/2006/relationships/hyperlink" Target="https://www.gruenes-medienhaus.de/download/2024/03/GMH_2024_11_0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Pflanze des Jahres Sachsen 2023</vt:lpstr>
    </vt:vector>
  </TitlesOfParts>
  <Company/>
  <LinksUpToDate>false</LinksUpToDate>
  <CharactersWithSpaces>1419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Yuliia Novomlynska</cp:lastModifiedBy>
  <cp:revision>26</cp:revision>
  <cp:lastPrinted>2024-03-11T07:50:00Z</cp:lastPrinted>
  <dcterms:created xsi:type="dcterms:W3CDTF">2023-03-01T13:12:00Z</dcterms:created>
  <dcterms:modified xsi:type="dcterms:W3CDTF">2024-03-12T13:22:00Z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230122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